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941C" w14:textId="46493AC3" w:rsidR="00F0013B" w:rsidRPr="00F0013B" w:rsidRDefault="00F0013B" w:rsidP="007374C4">
      <w:pPr>
        <w:rPr>
          <w:rFonts w:ascii="Arial" w:hAnsi="Arial" w:cs="Arial"/>
          <w:sz w:val="32"/>
          <w:szCs w:val="32"/>
        </w:rPr>
      </w:pPr>
    </w:p>
    <w:p w14:paraId="0C2FC0BB" w14:textId="67E8E0EF" w:rsidR="00F0013B" w:rsidRPr="00F0013B" w:rsidRDefault="00F0013B" w:rsidP="00F0013B">
      <w:pPr>
        <w:jc w:val="center"/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 w:rsidRPr="00F0013B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ADVANCED HIGH SCHOOL STATISTICS, </w:t>
      </w:r>
      <w:r w:rsidR="003924E1">
        <w:rPr>
          <w:rFonts w:ascii="Arial" w:hAnsi="Arial" w:cs="Arial"/>
          <w:b/>
          <w:bCs/>
          <w:color w:val="4472C4" w:themeColor="accent1"/>
          <w:sz w:val="40"/>
          <w:szCs w:val="40"/>
        </w:rPr>
        <w:t>3RD</w:t>
      </w:r>
      <w:r w:rsidRPr="00F0013B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ED. AND AP</w:t>
      </w:r>
      <w:r w:rsidRPr="00F0013B">
        <w:rPr>
          <w:rFonts w:ascii="Arial" w:hAnsi="Arial" w:cs="Arial"/>
          <w:b/>
          <w:bCs/>
          <w:color w:val="4472C4" w:themeColor="accent1"/>
          <w:sz w:val="40"/>
          <w:szCs w:val="40"/>
          <w:vertAlign w:val="superscript"/>
        </w:rPr>
        <w:t>®</w:t>
      </w:r>
      <w:r w:rsidRPr="00F0013B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STATISTICS CED ALIGNMENT</w:t>
      </w:r>
    </w:p>
    <w:p w14:paraId="1F016F26" w14:textId="77777777" w:rsidR="00F0013B" w:rsidRPr="00F0013B" w:rsidRDefault="00F0013B" w:rsidP="00F0013B">
      <w:pPr>
        <w:jc w:val="center"/>
        <w:rPr>
          <w:rFonts w:ascii="Arial" w:hAnsi="Arial" w:cs="Arial"/>
          <w:color w:val="4472C4" w:themeColor="accent1"/>
          <w:sz w:val="40"/>
          <w:szCs w:val="40"/>
        </w:rPr>
      </w:pPr>
    </w:p>
    <w:p w14:paraId="1511B489" w14:textId="77777777" w:rsidR="00F0013B" w:rsidRPr="00F0013B" w:rsidRDefault="00F0013B" w:rsidP="007374C4">
      <w:pPr>
        <w:rPr>
          <w:rFonts w:ascii="Arial" w:hAnsi="Arial" w:cs="Arial"/>
          <w:sz w:val="32"/>
          <w:szCs w:val="32"/>
        </w:rPr>
      </w:pPr>
    </w:p>
    <w:p w14:paraId="6347BA4B" w14:textId="77777777" w:rsidR="0095059B" w:rsidRPr="00F0013B" w:rsidRDefault="00B75E41" w:rsidP="007374C4">
      <w:pPr>
        <w:rPr>
          <w:rFonts w:ascii="Arial" w:hAnsi="Arial" w:cs="Arial"/>
          <w:sz w:val="32"/>
          <w:szCs w:val="32"/>
        </w:rPr>
      </w:pPr>
      <w:r w:rsidRPr="00F0013B">
        <w:rPr>
          <w:rFonts w:ascii="Arial" w:hAnsi="Arial" w:cs="Arial"/>
          <w:sz w:val="32"/>
          <w:szCs w:val="32"/>
        </w:rPr>
        <w:t xml:space="preserve">Following the </w:t>
      </w:r>
      <w:r w:rsidR="0095059B" w:rsidRPr="00F0013B">
        <w:rPr>
          <w:rFonts w:ascii="Arial" w:hAnsi="Arial" w:cs="Arial"/>
          <w:sz w:val="32"/>
          <w:szCs w:val="32"/>
        </w:rPr>
        <w:t>AP</w:t>
      </w:r>
      <w:r w:rsidR="007374C4" w:rsidRPr="00F0013B">
        <w:rPr>
          <w:rFonts w:ascii="Arial" w:hAnsi="Arial" w:cs="Arial"/>
          <w:sz w:val="32"/>
          <w:szCs w:val="32"/>
          <w:vertAlign w:val="superscript"/>
        </w:rPr>
        <w:t>®</w:t>
      </w:r>
      <w:r w:rsidR="0095059B" w:rsidRPr="00F0013B">
        <w:rPr>
          <w:rFonts w:ascii="Arial" w:hAnsi="Arial" w:cs="Arial"/>
          <w:sz w:val="32"/>
          <w:szCs w:val="32"/>
        </w:rPr>
        <w:t xml:space="preserve"> Statistics Course and Exam </w:t>
      </w:r>
      <w:r w:rsidR="00A32B51">
        <w:rPr>
          <w:rFonts w:ascii="Arial" w:hAnsi="Arial" w:cs="Arial"/>
          <w:sz w:val="32"/>
          <w:szCs w:val="32"/>
        </w:rPr>
        <w:t>Description</w:t>
      </w:r>
      <w:r w:rsidR="0095059B" w:rsidRPr="00F0013B">
        <w:rPr>
          <w:rFonts w:ascii="Arial" w:hAnsi="Arial" w:cs="Arial"/>
          <w:sz w:val="32"/>
          <w:szCs w:val="32"/>
        </w:rPr>
        <w:t xml:space="preserve"> (CED)</w:t>
      </w:r>
      <w:r w:rsidR="007374C4" w:rsidRPr="00F0013B">
        <w:rPr>
          <w:rFonts w:ascii="Arial" w:hAnsi="Arial" w:cs="Arial"/>
          <w:sz w:val="32"/>
          <w:szCs w:val="32"/>
        </w:rPr>
        <w:t xml:space="preserve"> Units*</w:t>
      </w:r>
    </w:p>
    <w:p w14:paraId="51C2B6DF" w14:textId="77777777" w:rsidR="0095059B" w:rsidRPr="00F0013B" w:rsidRDefault="0095059B">
      <w:pPr>
        <w:rPr>
          <w:rFonts w:ascii="Arial" w:hAnsi="Arial" w:cs="Arial"/>
        </w:rPr>
      </w:pPr>
    </w:p>
    <w:tbl>
      <w:tblPr>
        <w:tblW w:w="97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2880"/>
        <w:gridCol w:w="2098"/>
      </w:tblGrid>
      <w:tr w:rsidR="00F0013B" w:rsidRPr="00F0013B" w14:paraId="33A2FF8E" w14:textId="77777777" w:rsidTr="00047670">
        <w:trPr>
          <w:trHeight w:val="722"/>
          <w:jc w:val="center"/>
        </w:trPr>
        <w:tc>
          <w:tcPr>
            <w:tcW w:w="47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5EE6ADE" w14:textId="77777777" w:rsidR="00F0013B" w:rsidRPr="00F0013B" w:rsidRDefault="00F0013B" w:rsidP="00F0013B">
            <w:pPr>
              <w:spacing w:line="360" w:lineRule="atLeast"/>
              <w:outlineLvl w:val="4"/>
              <w:rPr>
                <w:rFonts w:ascii="Arial" w:hAnsi="Arial" w:cs="Arial"/>
                <w:b/>
                <w:bCs/>
                <w:color w:val="505050"/>
              </w:rPr>
            </w:pPr>
            <w:r w:rsidRPr="00F0013B">
              <w:rPr>
                <w:rFonts w:ascii="Arial" w:hAnsi="Arial" w:cs="Arial"/>
                <w:b/>
                <w:bCs/>
                <w:color w:val="505050"/>
              </w:rPr>
              <w:t> CED Unit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1686A908" w14:textId="4A356380" w:rsidR="00F0013B" w:rsidRPr="00047670" w:rsidRDefault="00F0013B" w:rsidP="00F0013B">
            <w:pPr>
              <w:spacing w:line="360" w:lineRule="atLeast"/>
              <w:outlineLvl w:val="4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 AHSS</w:t>
            </w:r>
            <w:r w:rsidR="00745EFB">
              <w:rPr>
                <w:rFonts w:ascii="Arial" w:hAnsi="Arial" w:cs="Arial"/>
                <w:b/>
                <w:bCs/>
                <w:color w:val="4472C4" w:themeColor="accent1"/>
              </w:rPr>
              <w:t>3</w:t>
            </w: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 Alignment</w:t>
            </w:r>
          </w:p>
        </w:tc>
        <w:tc>
          <w:tcPr>
            <w:tcW w:w="209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470F5E57" w14:textId="77777777" w:rsidR="00F0013B" w:rsidRPr="00F0013B" w:rsidRDefault="00F0013B" w:rsidP="00F0013B">
            <w:pPr>
              <w:spacing w:line="360" w:lineRule="atLeast"/>
              <w:outlineLvl w:val="4"/>
              <w:rPr>
                <w:rFonts w:ascii="Arial" w:hAnsi="Arial" w:cs="Arial"/>
                <w:b/>
                <w:bCs/>
                <w:color w:val="505050"/>
              </w:rPr>
            </w:pPr>
            <w:r w:rsidRPr="00F0013B">
              <w:rPr>
                <w:rFonts w:ascii="Arial" w:hAnsi="Arial" w:cs="Arial"/>
                <w:b/>
                <w:bCs/>
                <w:color w:val="505050"/>
              </w:rPr>
              <w:t xml:space="preserve"> AP Exam </w:t>
            </w:r>
            <w:r w:rsidR="00047670">
              <w:rPr>
                <w:rFonts w:ascii="Arial" w:hAnsi="Arial" w:cs="Arial"/>
                <w:b/>
                <w:bCs/>
                <w:color w:val="505050"/>
              </w:rPr>
              <w:t xml:space="preserve"> </w:t>
            </w:r>
            <w:r w:rsidR="00047670">
              <w:rPr>
                <w:rFonts w:ascii="Arial" w:hAnsi="Arial" w:cs="Arial"/>
                <w:b/>
                <w:bCs/>
                <w:color w:val="505050"/>
              </w:rPr>
              <w:br/>
              <w:t xml:space="preserve"> </w:t>
            </w:r>
            <w:r w:rsidRPr="00F0013B">
              <w:rPr>
                <w:rFonts w:ascii="Arial" w:hAnsi="Arial" w:cs="Arial"/>
                <w:b/>
                <w:bCs/>
                <w:color w:val="505050"/>
              </w:rPr>
              <w:t>Weighting for MC</w:t>
            </w:r>
          </w:p>
        </w:tc>
      </w:tr>
      <w:tr w:rsidR="00F0013B" w:rsidRPr="00F0013B" w14:paraId="0D8CD610" w14:textId="77777777" w:rsidTr="00F0013B">
        <w:trPr>
          <w:trHeight w:val="360"/>
          <w:jc w:val="center"/>
        </w:trPr>
        <w:tc>
          <w:tcPr>
            <w:tcW w:w="47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F32BD29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b/>
                <w:bCs/>
                <w:color w:val="505050"/>
              </w:rPr>
              <w:t> Unit 1</w:t>
            </w:r>
            <w:r w:rsidRPr="00F0013B">
              <w:rPr>
                <w:rFonts w:ascii="Arial" w:hAnsi="Arial" w:cs="Arial"/>
                <w:color w:val="505050"/>
              </w:rPr>
              <w:t>: Exploring One-Variable Data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14:paraId="288F87D1" w14:textId="32A2630D" w:rsidR="00F0013B" w:rsidRPr="00047670" w:rsidRDefault="00F0013B" w:rsidP="00F0013B">
            <w:pPr>
              <w:spacing w:line="360" w:lineRule="atLeast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  Ch 2</w:t>
            </w:r>
          </w:p>
        </w:tc>
        <w:tc>
          <w:tcPr>
            <w:tcW w:w="209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255A2010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15%–23%</w:t>
            </w:r>
          </w:p>
        </w:tc>
      </w:tr>
      <w:tr w:rsidR="00F0013B" w:rsidRPr="00F0013B" w14:paraId="7E4A47C0" w14:textId="77777777" w:rsidTr="00F0013B">
        <w:trPr>
          <w:trHeight w:val="360"/>
          <w:jc w:val="center"/>
        </w:trPr>
        <w:tc>
          <w:tcPr>
            <w:tcW w:w="47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FCEBE4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</w:t>
            </w:r>
            <w:r w:rsidRPr="00F0013B">
              <w:rPr>
                <w:rFonts w:ascii="Arial" w:hAnsi="Arial" w:cs="Arial"/>
                <w:b/>
                <w:bCs/>
                <w:color w:val="505050"/>
              </w:rPr>
              <w:t>Unit 2</w:t>
            </w:r>
            <w:r w:rsidRPr="00F0013B">
              <w:rPr>
                <w:rFonts w:ascii="Arial" w:hAnsi="Arial" w:cs="Arial"/>
                <w:color w:val="505050"/>
              </w:rPr>
              <w:t>: Exploring Two-Variable Data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14:paraId="77F27FFD" w14:textId="3E2C99B8" w:rsidR="00F0013B" w:rsidRPr="00047670" w:rsidRDefault="00F0013B" w:rsidP="00F0013B">
            <w:pPr>
              <w:spacing w:line="360" w:lineRule="atLeast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  </w:t>
            </w:r>
            <w:r w:rsid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Ch </w:t>
            </w: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>2.</w:t>
            </w:r>
            <w:r w:rsidR="00745EFB">
              <w:rPr>
                <w:rFonts w:ascii="Arial" w:hAnsi="Arial" w:cs="Arial"/>
                <w:b/>
                <w:bCs/>
                <w:color w:val="4472C4" w:themeColor="accent1"/>
              </w:rPr>
              <w:t>4 (</w:t>
            </w:r>
            <w:proofErr w:type="spellStart"/>
            <w:r w:rsidR="00745EFB">
              <w:rPr>
                <w:rFonts w:ascii="Arial" w:hAnsi="Arial" w:cs="Arial"/>
                <w:b/>
                <w:bCs/>
                <w:color w:val="4472C4" w:themeColor="accent1"/>
              </w:rPr>
              <w:t>categ</w:t>
            </w:r>
            <w:proofErr w:type="spellEnd"/>
            <w:r w:rsidR="00745EFB">
              <w:rPr>
                <w:rFonts w:ascii="Arial" w:hAnsi="Arial" w:cs="Arial"/>
                <w:b/>
                <w:bCs/>
                <w:color w:val="4472C4" w:themeColor="accent1"/>
              </w:rPr>
              <w:t>.)</w:t>
            </w: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 + 8.1-8.</w:t>
            </w:r>
            <w:r w:rsidR="005C3F62">
              <w:rPr>
                <w:rFonts w:ascii="Arial" w:hAnsi="Arial" w:cs="Arial"/>
                <w:b/>
                <w:bCs/>
                <w:color w:val="4472C4" w:themeColor="accent1"/>
              </w:rPr>
              <w:t>3</w:t>
            </w:r>
          </w:p>
        </w:tc>
        <w:tc>
          <w:tcPr>
            <w:tcW w:w="209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2D24F7FC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</w:t>
            </w:r>
            <w:r>
              <w:rPr>
                <w:rFonts w:ascii="Arial" w:hAnsi="Arial" w:cs="Arial"/>
                <w:color w:val="505050"/>
              </w:rPr>
              <w:t xml:space="preserve">   </w:t>
            </w:r>
            <w:r w:rsidRPr="00F0013B">
              <w:rPr>
                <w:rFonts w:ascii="Arial" w:hAnsi="Arial" w:cs="Arial"/>
                <w:color w:val="505050"/>
              </w:rPr>
              <w:t>5%–7%</w:t>
            </w:r>
          </w:p>
        </w:tc>
      </w:tr>
      <w:tr w:rsidR="00F0013B" w:rsidRPr="00F0013B" w14:paraId="6AFB9F9B" w14:textId="77777777" w:rsidTr="00F0013B">
        <w:trPr>
          <w:trHeight w:val="360"/>
          <w:jc w:val="center"/>
        </w:trPr>
        <w:tc>
          <w:tcPr>
            <w:tcW w:w="47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AF7C5A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b/>
                <w:bCs/>
                <w:color w:val="505050"/>
              </w:rPr>
              <w:t> Unit 3</w:t>
            </w:r>
            <w:r w:rsidRPr="00F0013B">
              <w:rPr>
                <w:rFonts w:ascii="Arial" w:hAnsi="Arial" w:cs="Arial"/>
                <w:color w:val="505050"/>
              </w:rPr>
              <w:t>: Collecting Data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14:paraId="214235E1" w14:textId="77777777" w:rsidR="00F0013B" w:rsidRPr="00047670" w:rsidRDefault="00F0013B" w:rsidP="00F0013B">
            <w:pPr>
              <w:spacing w:line="360" w:lineRule="atLeast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  Ch 1</w:t>
            </w:r>
          </w:p>
        </w:tc>
        <w:tc>
          <w:tcPr>
            <w:tcW w:w="209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0419C087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12%–15%</w:t>
            </w:r>
          </w:p>
        </w:tc>
      </w:tr>
      <w:tr w:rsidR="00F0013B" w:rsidRPr="00F0013B" w14:paraId="0D644BBE" w14:textId="77777777" w:rsidTr="00F0013B">
        <w:trPr>
          <w:trHeight w:val="722"/>
          <w:jc w:val="center"/>
        </w:trPr>
        <w:tc>
          <w:tcPr>
            <w:tcW w:w="47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26EFB9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</w:t>
            </w:r>
            <w:r w:rsidRPr="00F0013B">
              <w:rPr>
                <w:rFonts w:ascii="Arial" w:hAnsi="Arial" w:cs="Arial"/>
                <w:b/>
                <w:bCs/>
                <w:color w:val="505050"/>
              </w:rPr>
              <w:t xml:space="preserve">Unit </w:t>
            </w:r>
            <w:r w:rsidRPr="00F0013B">
              <w:rPr>
                <w:rFonts w:ascii="Arial" w:hAnsi="Arial" w:cs="Arial"/>
                <w:color w:val="505050"/>
              </w:rPr>
              <w:t xml:space="preserve">4: Probability, Random Variables, </w:t>
            </w:r>
            <w:r w:rsidRPr="00F0013B">
              <w:rPr>
                <w:rFonts w:ascii="Arial" w:hAnsi="Arial" w:cs="Arial"/>
                <w:color w:val="505050"/>
              </w:rPr>
              <w:br/>
              <w:t xml:space="preserve">            and Probability Distributions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14:paraId="3AC77422" w14:textId="6CD2A2F1" w:rsidR="00F0013B" w:rsidRPr="00047670" w:rsidRDefault="00F0013B" w:rsidP="00F0013B">
            <w:pPr>
              <w:spacing w:line="360" w:lineRule="atLeast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  Ch 3</w:t>
            </w:r>
          </w:p>
        </w:tc>
        <w:tc>
          <w:tcPr>
            <w:tcW w:w="209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10BF13B9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10%–20%</w:t>
            </w:r>
          </w:p>
        </w:tc>
      </w:tr>
      <w:tr w:rsidR="00F0013B" w:rsidRPr="00F0013B" w14:paraId="63AEDC74" w14:textId="77777777" w:rsidTr="00F0013B">
        <w:trPr>
          <w:trHeight w:val="360"/>
          <w:jc w:val="center"/>
        </w:trPr>
        <w:tc>
          <w:tcPr>
            <w:tcW w:w="47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BA7FF4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</w:t>
            </w:r>
            <w:r w:rsidRPr="00F0013B">
              <w:rPr>
                <w:rFonts w:ascii="Arial" w:hAnsi="Arial" w:cs="Arial"/>
                <w:b/>
                <w:bCs/>
                <w:color w:val="505050"/>
              </w:rPr>
              <w:t>Unit 5</w:t>
            </w:r>
            <w:r w:rsidRPr="00F0013B">
              <w:rPr>
                <w:rFonts w:ascii="Arial" w:hAnsi="Arial" w:cs="Arial"/>
                <w:color w:val="505050"/>
              </w:rPr>
              <w:t>: Sampling Distributions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14:paraId="1CCB9BDE" w14:textId="7A862FCB" w:rsidR="00F0013B" w:rsidRPr="00047670" w:rsidRDefault="00F0013B" w:rsidP="00F0013B">
            <w:pPr>
              <w:spacing w:line="360" w:lineRule="atLeast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  </w:t>
            </w:r>
            <w:r w:rsid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Ch </w:t>
            </w: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>4</w:t>
            </w:r>
          </w:p>
        </w:tc>
        <w:tc>
          <w:tcPr>
            <w:tcW w:w="209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4A276086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</w:t>
            </w:r>
            <w:r>
              <w:rPr>
                <w:rFonts w:ascii="Arial" w:hAnsi="Arial" w:cs="Arial"/>
                <w:color w:val="505050"/>
              </w:rPr>
              <w:t xml:space="preserve">  </w:t>
            </w:r>
            <w:r w:rsidRPr="00F0013B">
              <w:rPr>
                <w:rFonts w:ascii="Arial" w:hAnsi="Arial" w:cs="Arial"/>
                <w:color w:val="505050"/>
              </w:rPr>
              <w:t>7%–12%</w:t>
            </w:r>
          </w:p>
        </w:tc>
      </w:tr>
      <w:tr w:rsidR="00F0013B" w:rsidRPr="00F0013B" w14:paraId="331EE710" w14:textId="77777777" w:rsidTr="00F0013B">
        <w:trPr>
          <w:trHeight w:val="722"/>
          <w:jc w:val="center"/>
        </w:trPr>
        <w:tc>
          <w:tcPr>
            <w:tcW w:w="47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4C3DEF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b/>
                <w:bCs/>
                <w:color w:val="505050"/>
              </w:rPr>
              <w:t> Unit 6</w:t>
            </w:r>
            <w:r w:rsidRPr="00F0013B">
              <w:rPr>
                <w:rFonts w:ascii="Arial" w:hAnsi="Arial" w:cs="Arial"/>
                <w:color w:val="505050"/>
              </w:rPr>
              <w:t xml:space="preserve">: Inference for Categorical Data: </w:t>
            </w:r>
            <w:r w:rsidRPr="00F0013B">
              <w:rPr>
                <w:rFonts w:ascii="Arial" w:hAnsi="Arial" w:cs="Arial"/>
                <w:color w:val="505050"/>
              </w:rPr>
              <w:br/>
              <w:t xml:space="preserve">            Proportions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14:paraId="75F0D3F6" w14:textId="77777777" w:rsidR="00F0013B" w:rsidRPr="00047670" w:rsidRDefault="00F0013B" w:rsidP="00F0013B">
            <w:pPr>
              <w:spacing w:line="360" w:lineRule="atLeast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  Ch 5 + 6.1, 6.2</w:t>
            </w:r>
          </w:p>
        </w:tc>
        <w:tc>
          <w:tcPr>
            <w:tcW w:w="209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330071EA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12%–15%</w:t>
            </w:r>
          </w:p>
        </w:tc>
      </w:tr>
      <w:tr w:rsidR="00F0013B" w:rsidRPr="00F0013B" w14:paraId="45388334" w14:textId="77777777" w:rsidTr="00F0013B">
        <w:trPr>
          <w:trHeight w:val="722"/>
          <w:jc w:val="center"/>
        </w:trPr>
        <w:tc>
          <w:tcPr>
            <w:tcW w:w="47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932E79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b/>
                <w:bCs/>
                <w:color w:val="505050"/>
              </w:rPr>
              <w:t> Unit 7</w:t>
            </w:r>
            <w:r w:rsidRPr="00F0013B">
              <w:rPr>
                <w:rFonts w:ascii="Arial" w:hAnsi="Arial" w:cs="Arial"/>
                <w:color w:val="505050"/>
              </w:rPr>
              <w:t xml:space="preserve">: Inference for Quantitative Data: </w:t>
            </w:r>
            <w:r w:rsidRPr="00F0013B">
              <w:rPr>
                <w:rFonts w:ascii="Arial" w:hAnsi="Arial" w:cs="Arial"/>
                <w:color w:val="505050"/>
              </w:rPr>
              <w:br/>
              <w:t xml:space="preserve">            Means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14:paraId="006AB3C0" w14:textId="77777777" w:rsidR="00F0013B" w:rsidRPr="00047670" w:rsidRDefault="00F0013B" w:rsidP="00F0013B">
            <w:pPr>
              <w:spacing w:line="360" w:lineRule="atLeast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  Ch 7</w:t>
            </w:r>
          </w:p>
        </w:tc>
        <w:tc>
          <w:tcPr>
            <w:tcW w:w="209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187E6D6C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10%–18%</w:t>
            </w:r>
          </w:p>
        </w:tc>
      </w:tr>
      <w:tr w:rsidR="00F0013B" w:rsidRPr="00F0013B" w14:paraId="58EA8B5D" w14:textId="77777777" w:rsidTr="00F0013B">
        <w:trPr>
          <w:trHeight w:val="722"/>
          <w:jc w:val="center"/>
        </w:trPr>
        <w:tc>
          <w:tcPr>
            <w:tcW w:w="47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0E455C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b/>
                <w:bCs/>
                <w:color w:val="505050"/>
              </w:rPr>
              <w:t> Unit 8</w:t>
            </w:r>
            <w:r w:rsidRPr="00F0013B">
              <w:rPr>
                <w:rFonts w:ascii="Arial" w:hAnsi="Arial" w:cs="Arial"/>
                <w:color w:val="505050"/>
              </w:rPr>
              <w:t xml:space="preserve">: Inference for Categorical Data: </w:t>
            </w:r>
            <w:r w:rsidRPr="00F0013B">
              <w:rPr>
                <w:rFonts w:ascii="Arial" w:hAnsi="Arial" w:cs="Arial"/>
                <w:color w:val="505050"/>
              </w:rPr>
              <w:br/>
              <w:t xml:space="preserve">            Chi-Square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14:paraId="5287A5F3" w14:textId="77777777" w:rsidR="00F0013B" w:rsidRPr="00047670" w:rsidRDefault="00F0013B" w:rsidP="00F0013B">
            <w:pPr>
              <w:spacing w:line="360" w:lineRule="atLeast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  </w:t>
            </w:r>
            <w:r w:rsid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Ch </w:t>
            </w: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>6.3-6.4</w:t>
            </w:r>
          </w:p>
        </w:tc>
        <w:tc>
          <w:tcPr>
            <w:tcW w:w="209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38F638B7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</w:t>
            </w:r>
            <w:r>
              <w:rPr>
                <w:rFonts w:ascii="Arial" w:hAnsi="Arial" w:cs="Arial"/>
                <w:color w:val="505050"/>
              </w:rPr>
              <w:t xml:space="preserve">  </w:t>
            </w:r>
            <w:r w:rsidRPr="00F0013B">
              <w:rPr>
                <w:rFonts w:ascii="Arial" w:hAnsi="Arial" w:cs="Arial"/>
                <w:color w:val="505050"/>
              </w:rPr>
              <w:t>2%–5%</w:t>
            </w:r>
          </w:p>
        </w:tc>
      </w:tr>
      <w:tr w:rsidR="00F0013B" w:rsidRPr="00F0013B" w14:paraId="33DDB54A" w14:textId="77777777" w:rsidTr="00F0013B">
        <w:trPr>
          <w:trHeight w:val="722"/>
          <w:jc w:val="center"/>
        </w:trPr>
        <w:tc>
          <w:tcPr>
            <w:tcW w:w="47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F1422E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b/>
                <w:bCs/>
                <w:color w:val="505050"/>
              </w:rPr>
              <w:t> Unit 9</w:t>
            </w:r>
            <w:r w:rsidRPr="00F0013B">
              <w:rPr>
                <w:rFonts w:ascii="Arial" w:hAnsi="Arial" w:cs="Arial"/>
                <w:color w:val="505050"/>
              </w:rPr>
              <w:t xml:space="preserve">: Inference for Quantitative Data: </w:t>
            </w:r>
            <w:r w:rsidRPr="00F0013B">
              <w:rPr>
                <w:rFonts w:ascii="Arial" w:hAnsi="Arial" w:cs="Arial"/>
                <w:color w:val="505050"/>
              </w:rPr>
              <w:br/>
              <w:t xml:space="preserve">            Slopes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14:paraId="1A84BEEC" w14:textId="3DE4A4AF" w:rsidR="00F0013B" w:rsidRPr="00047670" w:rsidRDefault="00F0013B" w:rsidP="00F0013B">
            <w:pPr>
              <w:spacing w:line="360" w:lineRule="atLeast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  </w:t>
            </w:r>
            <w:r w:rsid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Ch </w:t>
            </w: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>8.</w:t>
            </w:r>
            <w:r w:rsidR="005C3F62">
              <w:rPr>
                <w:rFonts w:ascii="Arial" w:hAnsi="Arial" w:cs="Arial"/>
                <w:b/>
                <w:bCs/>
                <w:color w:val="4472C4" w:themeColor="accent1"/>
              </w:rPr>
              <w:t>4</w:t>
            </w:r>
          </w:p>
        </w:tc>
        <w:tc>
          <w:tcPr>
            <w:tcW w:w="209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719D1FE6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</w:t>
            </w:r>
            <w:r>
              <w:rPr>
                <w:rFonts w:ascii="Arial" w:hAnsi="Arial" w:cs="Arial"/>
                <w:color w:val="505050"/>
              </w:rPr>
              <w:t xml:space="preserve">  </w:t>
            </w:r>
            <w:r w:rsidRPr="00F0013B">
              <w:rPr>
                <w:rFonts w:ascii="Arial" w:hAnsi="Arial" w:cs="Arial"/>
                <w:color w:val="505050"/>
              </w:rPr>
              <w:t>2%–5%</w:t>
            </w:r>
          </w:p>
        </w:tc>
      </w:tr>
    </w:tbl>
    <w:p w14:paraId="5B809FBD" w14:textId="77777777" w:rsidR="00FE1FFB" w:rsidRPr="00F0013B" w:rsidRDefault="00FE1FFB">
      <w:pPr>
        <w:rPr>
          <w:rFonts w:ascii="Arial" w:hAnsi="Arial" w:cs="Arial"/>
        </w:rPr>
      </w:pPr>
    </w:p>
    <w:p w14:paraId="707CF6EA" w14:textId="77777777" w:rsidR="00386317" w:rsidRPr="00F0013B" w:rsidRDefault="00386317">
      <w:pPr>
        <w:rPr>
          <w:rFonts w:ascii="Arial" w:hAnsi="Arial" w:cs="Arial"/>
        </w:rPr>
      </w:pPr>
    </w:p>
    <w:p w14:paraId="0519665F" w14:textId="77777777" w:rsidR="002E0CF5" w:rsidRPr="00F0013B" w:rsidRDefault="002E0CF5">
      <w:pPr>
        <w:rPr>
          <w:rFonts w:ascii="Arial" w:hAnsi="Arial" w:cs="Arial"/>
        </w:rPr>
      </w:pPr>
    </w:p>
    <w:p w14:paraId="3A790BA0" w14:textId="77777777" w:rsidR="002E0CF5" w:rsidRPr="00F0013B" w:rsidRDefault="002E0CF5">
      <w:pPr>
        <w:rPr>
          <w:rFonts w:ascii="Arial" w:hAnsi="Arial" w:cs="Arial"/>
        </w:rPr>
      </w:pPr>
    </w:p>
    <w:p w14:paraId="50BFCD0B" w14:textId="77777777" w:rsidR="007374C4" w:rsidRPr="00F0013B" w:rsidRDefault="007374C4" w:rsidP="007374C4">
      <w:pPr>
        <w:rPr>
          <w:rFonts w:ascii="Arial" w:hAnsi="Arial" w:cs="Arial"/>
        </w:rPr>
      </w:pPr>
    </w:p>
    <w:p w14:paraId="692A099E" w14:textId="77777777" w:rsidR="002E0CF5" w:rsidRPr="00F0013B" w:rsidRDefault="00F0013B">
      <w:pPr>
        <w:rPr>
          <w:rFonts w:ascii="Arial" w:hAnsi="Arial" w:cs="Arial"/>
        </w:rPr>
      </w:pPr>
      <w:r w:rsidRPr="00F0013B">
        <w:rPr>
          <w:rFonts w:ascii="Arial" w:hAnsi="Arial" w:cs="Arial"/>
        </w:rPr>
        <w:t xml:space="preserve">*From </w:t>
      </w:r>
      <w:hyperlink r:id="rId4" w:history="1">
        <w:r w:rsidRPr="00047670">
          <w:rPr>
            <w:rStyle w:val="Hyperlink"/>
            <w:rFonts w:ascii="Arial" w:hAnsi="Arial" w:cs="Arial"/>
            <w:color w:val="4472C4" w:themeColor="accent1"/>
          </w:rPr>
          <w:t>https://apcentral.collegeboard.org/courses/ap-statistics/course</w:t>
        </w:r>
      </w:hyperlink>
      <w:r w:rsidRPr="00F0013B">
        <w:rPr>
          <w:rFonts w:ascii="Arial" w:hAnsi="Arial" w:cs="Arial"/>
          <w:sz w:val="32"/>
          <w:szCs w:val="32"/>
        </w:rPr>
        <w:br/>
      </w:r>
    </w:p>
    <w:p w14:paraId="0CBFDE73" w14:textId="77777777" w:rsidR="002E0CF5" w:rsidRPr="00F0013B" w:rsidRDefault="002E0CF5">
      <w:pPr>
        <w:rPr>
          <w:rFonts w:ascii="Arial" w:hAnsi="Arial" w:cs="Arial"/>
        </w:rPr>
      </w:pPr>
    </w:p>
    <w:p w14:paraId="37C59268" w14:textId="77777777" w:rsidR="002E0CF5" w:rsidRPr="00F0013B" w:rsidRDefault="002E0CF5">
      <w:pPr>
        <w:rPr>
          <w:rFonts w:ascii="Arial" w:hAnsi="Arial" w:cs="Arial"/>
        </w:rPr>
      </w:pPr>
    </w:p>
    <w:p w14:paraId="318E7533" w14:textId="77777777" w:rsidR="007374C4" w:rsidRPr="00F0013B" w:rsidRDefault="007374C4">
      <w:pPr>
        <w:rPr>
          <w:rFonts w:ascii="Arial" w:hAnsi="Arial" w:cs="Arial"/>
          <w:sz w:val="32"/>
          <w:szCs w:val="32"/>
        </w:rPr>
      </w:pPr>
    </w:p>
    <w:p w14:paraId="41330210" w14:textId="0A04B716" w:rsidR="002E0CF5" w:rsidRPr="00F0013B" w:rsidRDefault="00B75E41" w:rsidP="002E0CF5">
      <w:pPr>
        <w:jc w:val="center"/>
        <w:rPr>
          <w:rFonts w:ascii="Arial" w:hAnsi="Arial" w:cs="Arial"/>
          <w:sz w:val="32"/>
          <w:szCs w:val="32"/>
        </w:rPr>
      </w:pPr>
      <w:r w:rsidRPr="00F0013B">
        <w:rPr>
          <w:rFonts w:ascii="Arial" w:hAnsi="Arial" w:cs="Arial"/>
          <w:sz w:val="32"/>
          <w:szCs w:val="32"/>
        </w:rPr>
        <w:t xml:space="preserve">Following, roughly, the </w:t>
      </w:r>
      <w:r w:rsidR="002E0CF5" w:rsidRPr="00F0013B">
        <w:rPr>
          <w:rFonts w:ascii="Arial" w:hAnsi="Arial" w:cs="Arial"/>
          <w:sz w:val="32"/>
          <w:szCs w:val="32"/>
        </w:rPr>
        <w:t>AHSS</w:t>
      </w:r>
      <w:r w:rsidR="003924E1">
        <w:rPr>
          <w:rFonts w:ascii="Arial" w:hAnsi="Arial" w:cs="Arial"/>
          <w:sz w:val="32"/>
          <w:szCs w:val="32"/>
        </w:rPr>
        <w:t>3</w:t>
      </w:r>
      <w:r w:rsidR="002E0CF5" w:rsidRPr="00F0013B">
        <w:rPr>
          <w:rFonts w:ascii="Arial" w:hAnsi="Arial" w:cs="Arial"/>
          <w:sz w:val="32"/>
          <w:szCs w:val="32"/>
        </w:rPr>
        <w:t xml:space="preserve"> Chapter</w:t>
      </w:r>
      <w:r w:rsidRPr="00F0013B">
        <w:rPr>
          <w:rFonts w:ascii="Arial" w:hAnsi="Arial" w:cs="Arial"/>
          <w:sz w:val="32"/>
          <w:szCs w:val="32"/>
        </w:rPr>
        <w:t xml:space="preserve"> order</w:t>
      </w:r>
    </w:p>
    <w:p w14:paraId="5CE3062A" w14:textId="77777777" w:rsidR="002E0CF5" w:rsidRPr="00F0013B" w:rsidRDefault="002E0CF5" w:rsidP="002E0CF5">
      <w:pPr>
        <w:rPr>
          <w:rFonts w:ascii="Arial" w:hAnsi="Arial" w:cs="Arial"/>
        </w:rPr>
      </w:pPr>
    </w:p>
    <w:tbl>
      <w:tblPr>
        <w:tblW w:w="9982" w:type="dxa"/>
        <w:tblInd w:w="1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2"/>
        <w:gridCol w:w="3060"/>
        <w:gridCol w:w="2340"/>
      </w:tblGrid>
      <w:tr w:rsidR="00F0013B" w:rsidRPr="00F0013B" w14:paraId="4B60CFA9" w14:textId="77777777" w:rsidTr="00A96759">
        <w:trPr>
          <w:trHeight w:val="721"/>
        </w:trPr>
        <w:tc>
          <w:tcPr>
            <w:tcW w:w="45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7057BF" w14:textId="3437C101" w:rsidR="00F0013B" w:rsidRPr="00047670" w:rsidRDefault="00F0013B" w:rsidP="00F0013B">
            <w:pPr>
              <w:spacing w:line="360" w:lineRule="atLeast"/>
              <w:outlineLvl w:val="4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> AHSS</w:t>
            </w:r>
            <w:r w:rsidR="003924E1">
              <w:rPr>
                <w:rFonts w:ascii="Arial" w:hAnsi="Arial" w:cs="Arial"/>
                <w:b/>
                <w:bCs/>
                <w:color w:val="4472C4" w:themeColor="accent1"/>
              </w:rPr>
              <w:t>3</w:t>
            </w: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 Chapters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4CE2EFBC" w14:textId="77777777" w:rsidR="00F0013B" w:rsidRPr="00F0013B" w:rsidRDefault="00047670" w:rsidP="00F0013B">
            <w:pPr>
              <w:spacing w:line="360" w:lineRule="atLeast"/>
              <w:outlineLvl w:val="4"/>
              <w:rPr>
                <w:rFonts w:ascii="Arial" w:hAnsi="Arial" w:cs="Arial"/>
                <w:b/>
                <w:bCs/>
                <w:color w:val="505050"/>
              </w:rPr>
            </w:pPr>
            <w:r>
              <w:rPr>
                <w:rFonts w:ascii="Arial" w:hAnsi="Arial" w:cs="Arial"/>
                <w:b/>
                <w:bCs/>
                <w:color w:val="505050"/>
              </w:rPr>
              <w:t xml:space="preserve">  </w:t>
            </w:r>
            <w:r w:rsidR="00F0013B" w:rsidRPr="00F0013B">
              <w:rPr>
                <w:rFonts w:ascii="Arial" w:hAnsi="Arial" w:cs="Arial"/>
                <w:b/>
                <w:bCs/>
                <w:color w:val="505050"/>
              </w:rPr>
              <w:t>CED Unit Alignment</w:t>
            </w:r>
          </w:p>
        </w:tc>
        <w:tc>
          <w:tcPr>
            <w:tcW w:w="23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13E5B9" w14:textId="77777777" w:rsidR="00F0013B" w:rsidRPr="00F0013B" w:rsidRDefault="00F0013B" w:rsidP="00F0013B">
            <w:pPr>
              <w:spacing w:line="360" w:lineRule="atLeast"/>
              <w:outlineLvl w:val="4"/>
              <w:rPr>
                <w:rFonts w:ascii="Arial" w:hAnsi="Arial" w:cs="Arial"/>
                <w:b/>
                <w:bCs/>
                <w:color w:val="505050"/>
              </w:rPr>
            </w:pPr>
            <w:r w:rsidRPr="00F0013B">
              <w:rPr>
                <w:rFonts w:ascii="Arial" w:hAnsi="Arial" w:cs="Arial"/>
                <w:b/>
                <w:bCs/>
                <w:color w:val="505050"/>
              </w:rPr>
              <w:t> AP Exam Weighting for MC</w:t>
            </w:r>
          </w:p>
        </w:tc>
      </w:tr>
      <w:tr w:rsidR="00F0013B" w:rsidRPr="00F0013B" w14:paraId="441796B0" w14:textId="77777777" w:rsidTr="00047670">
        <w:trPr>
          <w:trHeight w:val="360"/>
        </w:trPr>
        <w:tc>
          <w:tcPr>
            <w:tcW w:w="45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0B5DFC" w14:textId="77777777" w:rsidR="00F0013B" w:rsidRPr="00047670" w:rsidRDefault="00F0013B" w:rsidP="00F0013B">
            <w:pPr>
              <w:spacing w:line="360" w:lineRule="atLeast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>Chapter 1</w:t>
            </w:r>
            <w:r w:rsidRPr="00047670">
              <w:rPr>
                <w:rFonts w:ascii="Arial" w:hAnsi="Arial" w:cs="Arial"/>
                <w:color w:val="4472C4" w:themeColor="accent1"/>
              </w:rPr>
              <w:t>:  Data collection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3B217359" w14:textId="77777777" w:rsidR="00F0013B" w:rsidRPr="00F0013B" w:rsidRDefault="00047670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>
              <w:rPr>
                <w:rFonts w:ascii="Arial" w:hAnsi="Arial" w:cs="Arial"/>
                <w:color w:val="505050"/>
              </w:rPr>
              <w:t xml:space="preserve">  </w:t>
            </w:r>
            <w:r w:rsidR="00F0013B" w:rsidRPr="00047670">
              <w:rPr>
                <w:rFonts w:ascii="Arial" w:hAnsi="Arial" w:cs="Arial"/>
                <w:b/>
                <w:bCs/>
                <w:color w:val="505050"/>
              </w:rPr>
              <w:t>Unit 3</w:t>
            </w:r>
            <w:r w:rsidR="00F0013B" w:rsidRPr="00F0013B">
              <w:rPr>
                <w:rFonts w:ascii="Arial" w:hAnsi="Arial" w:cs="Arial"/>
                <w:color w:val="505050"/>
              </w:rPr>
              <w:t>: Collecting Data</w:t>
            </w:r>
          </w:p>
        </w:tc>
        <w:tc>
          <w:tcPr>
            <w:tcW w:w="23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52FF44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12%–15%</w:t>
            </w:r>
          </w:p>
        </w:tc>
      </w:tr>
      <w:tr w:rsidR="00F0013B" w:rsidRPr="00F0013B" w14:paraId="485DFC39" w14:textId="77777777" w:rsidTr="00047670">
        <w:trPr>
          <w:trHeight w:val="360"/>
        </w:trPr>
        <w:tc>
          <w:tcPr>
            <w:tcW w:w="45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FCC69C" w14:textId="0B55E1EF" w:rsidR="005C3F62" w:rsidRPr="00047670" w:rsidRDefault="00F0013B" w:rsidP="005C3F62">
            <w:pPr>
              <w:spacing w:line="360" w:lineRule="atLeast"/>
              <w:rPr>
                <w:rFonts w:ascii="Arial" w:hAnsi="Arial" w:cs="Arial"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>Chapter 2</w:t>
            </w:r>
            <w:r w:rsidRPr="00047670">
              <w:rPr>
                <w:rFonts w:ascii="Arial" w:hAnsi="Arial" w:cs="Arial"/>
                <w:color w:val="4472C4" w:themeColor="accent1"/>
              </w:rPr>
              <w:t xml:space="preserve">:  Summarizing </w:t>
            </w:r>
            <w:r w:rsidR="00745EFB">
              <w:rPr>
                <w:rFonts w:ascii="Arial" w:hAnsi="Arial" w:cs="Arial"/>
                <w:color w:val="4472C4" w:themeColor="accent1"/>
              </w:rPr>
              <w:t>data</w:t>
            </w:r>
          </w:p>
          <w:p w14:paraId="175C455C" w14:textId="067D01E6" w:rsidR="00F0013B" w:rsidRPr="00047670" w:rsidRDefault="00F0013B" w:rsidP="00F0013B">
            <w:pPr>
              <w:spacing w:line="360" w:lineRule="atLeast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49DDA979" w14:textId="4D62DE86" w:rsidR="00F0013B" w:rsidRPr="00F0013B" w:rsidRDefault="00047670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>
              <w:rPr>
                <w:rFonts w:ascii="Arial" w:hAnsi="Arial" w:cs="Arial"/>
                <w:color w:val="505050"/>
              </w:rPr>
              <w:t xml:space="preserve">  </w:t>
            </w:r>
            <w:r w:rsidR="00F0013B" w:rsidRPr="00047670">
              <w:rPr>
                <w:rFonts w:ascii="Arial" w:hAnsi="Arial" w:cs="Arial"/>
                <w:b/>
                <w:bCs/>
                <w:color w:val="505050"/>
              </w:rPr>
              <w:t>Unit 1</w:t>
            </w:r>
            <w:r w:rsidR="00F0013B" w:rsidRPr="00F0013B">
              <w:rPr>
                <w:rFonts w:ascii="Arial" w:hAnsi="Arial" w:cs="Arial"/>
                <w:color w:val="505050"/>
              </w:rPr>
              <w:t>: Exploring One-</w:t>
            </w:r>
            <w:r>
              <w:rPr>
                <w:rFonts w:ascii="Arial" w:hAnsi="Arial" w:cs="Arial"/>
                <w:color w:val="505050"/>
              </w:rPr>
              <w:t xml:space="preserve">  </w:t>
            </w:r>
            <w:r>
              <w:rPr>
                <w:rFonts w:ascii="Arial" w:hAnsi="Arial" w:cs="Arial"/>
                <w:color w:val="505050"/>
              </w:rPr>
              <w:br/>
              <w:t xml:space="preserve">  </w:t>
            </w:r>
            <w:r w:rsidR="00F0013B" w:rsidRPr="00F0013B">
              <w:rPr>
                <w:rFonts w:ascii="Arial" w:hAnsi="Arial" w:cs="Arial"/>
                <w:color w:val="505050"/>
              </w:rPr>
              <w:t>Variable Data</w:t>
            </w:r>
            <w:r w:rsidR="004C1A15">
              <w:rPr>
                <w:rFonts w:ascii="Arial" w:hAnsi="Arial" w:cs="Arial"/>
                <w:color w:val="505050"/>
              </w:rPr>
              <w:t xml:space="preserve"> + </w:t>
            </w:r>
            <w:r w:rsidR="004C1A15" w:rsidRPr="004C1A15">
              <w:rPr>
                <w:rFonts w:ascii="Arial" w:hAnsi="Arial" w:cs="Arial"/>
                <w:b/>
                <w:bCs/>
                <w:color w:val="505050"/>
              </w:rPr>
              <w:t>Unit 2</w:t>
            </w:r>
            <w:r w:rsidR="004C1A15">
              <w:rPr>
                <w:rFonts w:ascii="Arial" w:hAnsi="Arial" w:cs="Arial"/>
                <w:color w:val="505050"/>
              </w:rPr>
              <w:t xml:space="preserve"> </w:t>
            </w:r>
            <w:r w:rsidR="004C1A15">
              <w:rPr>
                <w:rFonts w:ascii="Arial" w:hAnsi="Arial" w:cs="Arial"/>
                <w:color w:val="505050"/>
              </w:rPr>
              <w:br/>
              <w:t xml:space="preserve">  Exploring Two-Variable</w:t>
            </w:r>
            <w:r w:rsidR="004C1A15">
              <w:rPr>
                <w:rFonts w:ascii="Arial" w:hAnsi="Arial" w:cs="Arial"/>
                <w:color w:val="505050"/>
              </w:rPr>
              <w:br/>
              <w:t xml:space="preserve">  Data (categorical)</w:t>
            </w:r>
          </w:p>
        </w:tc>
        <w:tc>
          <w:tcPr>
            <w:tcW w:w="23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BB52A2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15%–23%</w:t>
            </w:r>
          </w:p>
        </w:tc>
      </w:tr>
      <w:tr w:rsidR="00F0013B" w:rsidRPr="00F0013B" w14:paraId="5412FC8C" w14:textId="77777777" w:rsidTr="00047670">
        <w:trPr>
          <w:trHeight w:val="360"/>
        </w:trPr>
        <w:tc>
          <w:tcPr>
            <w:tcW w:w="45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A1FBB6" w14:textId="3D4D9ED2" w:rsidR="00F0013B" w:rsidRPr="00047670" w:rsidRDefault="00F0013B" w:rsidP="00F0013B">
            <w:pPr>
              <w:spacing w:line="360" w:lineRule="atLeast"/>
              <w:rPr>
                <w:rFonts w:ascii="Arial" w:hAnsi="Arial" w:cs="Arial"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>Chapter 3</w:t>
            </w:r>
            <w:r w:rsidRPr="00047670">
              <w:rPr>
                <w:rFonts w:ascii="Arial" w:hAnsi="Arial" w:cs="Arial"/>
                <w:color w:val="4472C4" w:themeColor="accent1"/>
              </w:rPr>
              <w:t>:  Probability</w:t>
            </w:r>
            <w:r w:rsidR="005C3F62">
              <w:rPr>
                <w:rFonts w:ascii="Arial" w:hAnsi="Arial" w:cs="Arial"/>
                <w:color w:val="4472C4" w:themeColor="accent1"/>
              </w:rPr>
              <w:t xml:space="preserve"> and probability distributions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59424943" w14:textId="77777777" w:rsidR="00F0013B" w:rsidRPr="00F0013B" w:rsidRDefault="00047670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>
              <w:rPr>
                <w:rFonts w:ascii="Arial" w:hAnsi="Arial" w:cs="Arial"/>
                <w:color w:val="505050"/>
              </w:rPr>
              <w:t xml:space="preserve">  </w:t>
            </w:r>
            <w:r w:rsidR="00F0013B" w:rsidRPr="00047670">
              <w:rPr>
                <w:rFonts w:ascii="Arial" w:hAnsi="Arial" w:cs="Arial"/>
                <w:b/>
                <w:bCs/>
                <w:color w:val="505050"/>
              </w:rPr>
              <w:t>Unit 4</w:t>
            </w:r>
            <w:r w:rsidR="00F0013B" w:rsidRPr="00F0013B">
              <w:rPr>
                <w:rFonts w:ascii="Arial" w:hAnsi="Arial" w:cs="Arial"/>
                <w:color w:val="505050"/>
              </w:rPr>
              <w:t xml:space="preserve">: Probability, </w:t>
            </w:r>
            <w:r>
              <w:rPr>
                <w:rFonts w:ascii="Arial" w:hAnsi="Arial" w:cs="Arial"/>
                <w:color w:val="505050"/>
              </w:rPr>
              <w:br/>
              <w:t xml:space="preserve">  </w:t>
            </w:r>
            <w:r w:rsidR="00F0013B" w:rsidRPr="00F0013B">
              <w:rPr>
                <w:rFonts w:ascii="Arial" w:hAnsi="Arial" w:cs="Arial"/>
                <w:color w:val="505050"/>
              </w:rPr>
              <w:t xml:space="preserve">Random Variables, and </w:t>
            </w:r>
            <w:r>
              <w:rPr>
                <w:rFonts w:ascii="Arial" w:hAnsi="Arial" w:cs="Arial"/>
                <w:color w:val="505050"/>
              </w:rPr>
              <w:br/>
              <w:t xml:space="preserve">  </w:t>
            </w:r>
            <w:r w:rsidR="00F0013B" w:rsidRPr="00F0013B">
              <w:rPr>
                <w:rFonts w:ascii="Arial" w:hAnsi="Arial" w:cs="Arial"/>
                <w:color w:val="505050"/>
              </w:rPr>
              <w:t>Probability Distributions</w:t>
            </w:r>
          </w:p>
        </w:tc>
        <w:tc>
          <w:tcPr>
            <w:tcW w:w="23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016881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10%–20%</w:t>
            </w:r>
          </w:p>
        </w:tc>
      </w:tr>
      <w:tr w:rsidR="00F0013B" w:rsidRPr="00F0013B" w14:paraId="7A96A24D" w14:textId="77777777" w:rsidTr="00047670">
        <w:trPr>
          <w:trHeight w:val="721"/>
        </w:trPr>
        <w:tc>
          <w:tcPr>
            <w:tcW w:w="45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6F5EF9" w14:textId="13344763" w:rsidR="00F0013B" w:rsidRPr="00047670" w:rsidRDefault="00047670" w:rsidP="00F0013B">
            <w:pPr>
              <w:spacing w:line="360" w:lineRule="atLeast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>Chapter</w:t>
            </w:r>
            <w:r w:rsidR="00F0013B" w:rsidRP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 4</w:t>
            </w:r>
            <w:r w:rsidR="005C3F62">
              <w:rPr>
                <w:rFonts w:ascii="Arial" w:hAnsi="Arial" w:cs="Arial"/>
                <w:b/>
                <w:bCs/>
                <w:color w:val="4472C4" w:themeColor="accent1"/>
              </w:rPr>
              <w:t xml:space="preserve">:  </w:t>
            </w:r>
            <w:r w:rsidR="005C3F62" w:rsidRPr="005C3F62">
              <w:rPr>
                <w:rFonts w:ascii="Arial" w:hAnsi="Arial" w:cs="Arial"/>
                <w:color w:val="4472C4" w:themeColor="accent1"/>
              </w:rPr>
              <w:t>Sampling distributions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069B67AD" w14:textId="77777777" w:rsidR="00F0013B" w:rsidRPr="00F0013B" w:rsidRDefault="00047670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>
              <w:rPr>
                <w:rFonts w:ascii="Arial" w:hAnsi="Arial" w:cs="Arial"/>
                <w:color w:val="505050"/>
              </w:rPr>
              <w:t xml:space="preserve">  </w:t>
            </w:r>
            <w:r w:rsidR="00F0013B" w:rsidRPr="00047670">
              <w:rPr>
                <w:rFonts w:ascii="Arial" w:hAnsi="Arial" w:cs="Arial"/>
                <w:b/>
                <w:bCs/>
                <w:color w:val="505050"/>
              </w:rPr>
              <w:t>Unit 5</w:t>
            </w:r>
            <w:r w:rsidR="00F0013B" w:rsidRPr="00F0013B">
              <w:rPr>
                <w:rFonts w:ascii="Arial" w:hAnsi="Arial" w:cs="Arial"/>
                <w:color w:val="505050"/>
              </w:rPr>
              <w:t xml:space="preserve">: Sampling </w:t>
            </w:r>
            <w:r>
              <w:rPr>
                <w:rFonts w:ascii="Arial" w:hAnsi="Arial" w:cs="Arial"/>
                <w:color w:val="505050"/>
              </w:rPr>
              <w:br/>
              <w:t xml:space="preserve">  </w:t>
            </w:r>
            <w:r w:rsidR="00F0013B" w:rsidRPr="00F0013B">
              <w:rPr>
                <w:rFonts w:ascii="Arial" w:hAnsi="Arial" w:cs="Arial"/>
                <w:color w:val="505050"/>
              </w:rPr>
              <w:t>Distributions</w:t>
            </w:r>
          </w:p>
        </w:tc>
        <w:tc>
          <w:tcPr>
            <w:tcW w:w="23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E51D02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</w:t>
            </w:r>
            <w:r w:rsidR="00047670">
              <w:rPr>
                <w:rFonts w:ascii="Arial" w:hAnsi="Arial" w:cs="Arial"/>
                <w:color w:val="505050"/>
              </w:rPr>
              <w:t xml:space="preserve">  </w:t>
            </w:r>
            <w:r w:rsidRPr="00F0013B">
              <w:rPr>
                <w:rFonts w:ascii="Arial" w:hAnsi="Arial" w:cs="Arial"/>
                <w:color w:val="505050"/>
              </w:rPr>
              <w:t>7%–12%</w:t>
            </w:r>
          </w:p>
        </w:tc>
      </w:tr>
      <w:tr w:rsidR="00F0013B" w:rsidRPr="00F0013B" w14:paraId="01B15C88" w14:textId="77777777" w:rsidTr="00047670">
        <w:trPr>
          <w:trHeight w:val="360"/>
        </w:trPr>
        <w:tc>
          <w:tcPr>
            <w:tcW w:w="45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FDD563C" w14:textId="0F1ABB41" w:rsidR="00F0013B" w:rsidRPr="00047670" w:rsidRDefault="00F0013B" w:rsidP="00F0013B">
            <w:pPr>
              <w:spacing w:line="360" w:lineRule="atLeast"/>
              <w:rPr>
                <w:rFonts w:ascii="Arial" w:hAnsi="Arial" w:cs="Arial"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>C</w:t>
            </w:r>
            <w:r w:rsidR="00047670">
              <w:rPr>
                <w:rFonts w:ascii="Arial" w:hAnsi="Arial" w:cs="Arial"/>
                <w:b/>
                <w:bCs/>
                <w:color w:val="4472C4" w:themeColor="accent1"/>
              </w:rPr>
              <w:t>h</w:t>
            </w: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 5</w:t>
            </w:r>
            <w:r w:rsidR="005C3F62">
              <w:rPr>
                <w:rFonts w:ascii="Arial" w:hAnsi="Arial" w:cs="Arial"/>
                <w:b/>
                <w:bCs/>
                <w:color w:val="4472C4" w:themeColor="accent1"/>
              </w:rPr>
              <w:t xml:space="preserve"> </w:t>
            </w:r>
            <w:r w:rsidRPr="00047670">
              <w:rPr>
                <w:rFonts w:ascii="Arial" w:hAnsi="Arial" w:cs="Arial"/>
                <w:color w:val="4472C4" w:themeColor="accent1"/>
              </w:rPr>
              <w:t xml:space="preserve">and </w:t>
            </w: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>Ch. 6.1-6.2</w:t>
            </w:r>
            <w:r w:rsidR="005C3F62">
              <w:rPr>
                <w:rFonts w:ascii="Arial" w:hAnsi="Arial" w:cs="Arial"/>
                <w:b/>
                <w:bCs/>
                <w:color w:val="4472C4" w:themeColor="accent1"/>
              </w:rPr>
              <w:t xml:space="preserve">:  </w:t>
            </w:r>
            <w:r w:rsidR="005C3F62" w:rsidRPr="005C3F62">
              <w:rPr>
                <w:rFonts w:ascii="Arial" w:hAnsi="Arial" w:cs="Arial"/>
                <w:color w:val="4472C4" w:themeColor="accent1"/>
              </w:rPr>
              <w:t>Foundations and Inference for categorical data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69423C26" w14:textId="77777777" w:rsidR="00F0013B" w:rsidRPr="00F0013B" w:rsidRDefault="00047670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>
              <w:rPr>
                <w:rFonts w:ascii="Arial" w:hAnsi="Arial" w:cs="Arial"/>
                <w:color w:val="505050"/>
              </w:rPr>
              <w:t xml:space="preserve">  </w:t>
            </w:r>
            <w:r w:rsidR="00F0013B" w:rsidRPr="00047670">
              <w:rPr>
                <w:rFonts w:ascii="Arial" w:hAnsi="Arial" w:cs="Arial"/>
                <w:b/>
                <w:bCs/>
                <w:color w:val="505050"/>
              </w:rPr>
              <w:t>Unit 6</w:t>
            </w:r>
            <w:r w:rsidR="00F0013B" w:rsidRPr="00F0013B">
              <w:rPr>
                <w:rFonts w:ascii="Arial" w:hAnsi="Arial" w:cs="Arial"/>
                <w:color w:val="505050"/>
              </w:rPr>
              <w:t xml:space="preserve">: Inference for </w:t>
            </w:r>
            <w:r>
              <w:rPr>
                <w:rFonts w:ascii="Arial" w:hAnsi="Arial" w:cs="Arial"/>
                <w:color w:val="505050"/>
              </w:rPr>
              <w:br/>
              <w:t xml:space="preserve">  </w:t>
            </w:r>
            <w:r w:rsidR="00F0013B" w:rsidRPr="00F0013B">
              <w:rPr>
                <w:rFonts w:ascii="Arial" w:hAnsi="Arial" w:cs="Arial"/>
                <w:color w:val="505050"/>
              </w:rPr>
              <w:t xml:space="preserve">Categorical Data: </w:t>
            </w:r>
            <w:r>
              <w:rPr>
                <w:rFonts w:ascii="Arial" w:hAnsi="Arial" w:cs="Arial"/>
                <w:color w:val="505050"/>
              </w:rPr>
              <w:br/>
              <w:t xml:space="preserve">  </w:t>
            </w:r>
            <w:r w:rsidR="00F0013B" w:rsidRPr="00F0013B">
              <w:rPr>
                <w:rFonts w:ascii="Arial" w:hAnsi="Arial" w:cs="Arial"/>
                <w:color w:val="505050"/>
              </w:rPr>
              <w:t>Proportions</w:t>
            </w:r>
          </w:p>
        </w:tc>
        <w:tc>
          <w:tcPr>
            <w:tcW w:w="23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0A5D7D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12%–15%</w:t>
            </w:r>
          </w:p>
        </w:tc>
      </w:tr>
      <w:tr w:rsidR="00F0013B" w:rsidRPr="00F0013B" w14:paraId="320CC3BF" w14:textId="77777777" w:rsidTr="00047670">
        <w:trPr>
          <w:trHeight w:val="721"/>
        </w:trPr>
        <w:tc>
          <w:tcPr>
            <w:tcW w:w="45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3771E6" w14:textId="1A82B9D0" w:rsidR="00F0013B" w:rsidRPr="00047670" w:rsidRDefault="00F0013B" w:rsidP="00F0013B">
            <w:pPr>
              <w:spacing w:line="360" w:lineRule="atLeast"/>
              <w:rPr>
                <w:rFonts w:ascii="Arial" w:hAnsi="Arial" w:cs="Arial"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>Ch 6.3-6.4</w:t>
            </w:r>
            <w:r w:rsidRPr="00047670">
              <w:rPr>
                <w:rFonts w:ascii="Arial" w:hAnsi="Arial" w:cs="Arial"/>
                <w:color w:val="4472C4" w:themeColor="accent1"/>
              </w:rPr>
              <w:t>:  Chi-square</w:t>
            </w:r>
            <w:r w:rsidR="005C3F62">
              <w:rPr>
                <w:rFonts w:ascii="Arial" w:hAnsi="Arial" w:cs="Arial"/>
                <w:color w:val="4472C4" w:themeColor="accent1"/>
              </w:rPr>
              <w:t xml:space="preserve"> tests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461949A4" w14:textId="77777777" w:rsidR="00F0013B" w:rsidRPr="00F0013B" w:rsidRDefault="00047670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>
              <w:rPr>
                <w:rFonts w:ascii="Arial" w:hAnsi="Arial" w:cs="Arial"/>
                <w:color w:val="505050"/>
              </w:rPr>
              <w:t xml:space="preserve">  </w:t>
            </w:r>
            <w:r w:rsidR="00F0013B" w:rsidRPr="00047670">
              <w:rPr>
                <w:rFonts w:ascii="Arial" w:hAnsi="Arial" w:cs="Arial"/>
                <w:b/>
                <w:bCs/>
                <w:color w:val="505050"/>
              </w:rPr>
              <w:t>Unit 8</w:t>
            </w:r>
            <w:r w:rsidR="00F0013B" w:rsidRPr="00F0013B">
              <w:rPr>
                <w:rFonts w:ascii="Arial" w:hAnsi="Arial" w:cs="Arial"/>
                <w:color w:val="505050"/>
              </w:rPr>
              <w:t xml:space="preserve">: Inference for </w:t>
            </w:r>
            <w:r>
              <w:rPr>
                <w:rFonts w:ascii="Arial" w:hAnsi="Arial" w:cs="Arial"/>
                <w:color w:val="505050"/>
              </w:rPr>
              <w:br/>
              <w:t xml:space="preserve">  </w:t>
            </w:r>
            <w:r w:rsidR="00F0013B" w:rsidRPr="00F0013B">
              <w:rPr>
                <w:rFonts w:ascii="Arial" w:hAnsi="Arial" w:cs="Arial"/>
                <w:color w:val="505050"/>
              </w:rPr>
              <w:t>Categorical Data: Chi-</w:t>
            </w:r>
            <w:r>
              <w:rPr>
                <w:rFonts w:ascii="Arial" w:hAnsi="Arial" w:cs="Arial"/>
                <w:color w:val="505050"/>
              </w:rPr>
              <w:t xml:space="preserve">  </w:t>
            </w:r>
            <w:r>
              <w:rPr>
                <w:rFonts w:ascii="Arial" w:hAnsi="Arial" w:cs="Arial"/>
                <w:color w:val="505050"/>
              </w:rPr>
              <w:br/>
              <w:t xml:space="preserve">   </w:t>
            </w:r>
            <w:r w:rsidR="00F0013B" w:rsidRPr="00F0013B">
              <w:rPr>
                <w:rFonts w:ascii="Arial" w:hAnsi="Arial" w:cs="Arial"/>
                <w:color w:val="505050"/>
              </w:rPr>
              <w:t>Square</w:t>
            </w:r>
          </w:p>
        </w:tc>
        <w:tc>
          <w:tcPr>
            <w:tcW w:w="23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2AF52E" w14:textId="77777777" w:rsidR="00F0013B" w:rsidRPr="00F0013B" w:rsidRDefault="00047670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>
              <w:rPr>
                <w:rFonts w:ascii="Arial" w:hAnsi="Arial" w:cs="Arial"/>
                <w:color w:val="505050"/>
              </w:rPr>
              <w:t xml:space="preserve">  </w:t>
            </w:r>
            <w:r w:rsidR="00F0013B" w:rsidRPr="00F0013B">
              <w:rPr>
                <w:rFonts w:ascii="Arial" w:hAnsi="Arial" w:cs="Arial"/>
                <w:color w:val="505050"/>
              </w:rPr>
              <w:t> 2%–5%</w:t>
            </w:r>
          </w:p>
        </w:tc>
      </w:tr>
      <w:tr w:rsidR="00F0013B" w:rsidRPr="00F0013B" w14:paraId="65097960" w14:textId="77777777" w:rsidTr="00047670">
        <w:trPr>
          <w:trHeight w:val="721"/>
        </w:trPr>
        <w:tc>
          <w:tcPr>
            <w:tcW w:w="45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</w:tcPr>
          <w:p w14:paraId="2EBE4EA7" w14:textId="77777777" w:rsidR="00F0013B" w:rsidRPr="00047670" w:rsidRDefault="00F0013B" w:rsidP="00F0013B">
            <w:pPr>
              <w:spacing w:line="360" w:lineRule="atLeast"/>
              <w:rPr>
                <w:rFonts w:ascii="Arial" w:hAnsi="Arial" w:cs="Arial"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>Chapter 7</w:t>
            </w:r>
            <w:r w:rsidRPr="00047670">
              <w:rPr>
                <w:rFonts w:ascii="Arial" w:hAnsi="Arial" w:cs="Arial"/>
                <w:color w:val="4472C4" w:themeColor="accent1"/>
              </w:rPr>
              <w:t>:  Inference for numerical data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55DC3575" w14:textId="77777777" w:rsidR="00047670" w:rsidRDefault="00047670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047670">
              <w:rPr>
                <w:rFonts w:ascii="Arial" w:hAnsi="Arial" w:cs="Arial"/>
                <w:b/>
                <w:bCs/>
                <w:color w:val="505050"/>
              </w:rPr>
              <w:t xml:space="preserve">  </w:t>
            </w:r>
            <w:r w:rsidR="00F0013B" w:rsidRPr="00047670">
              <w:rPr>
                <w:rFonts w:ascii="Arial" w:hAnsi="Arial" w:cs="Arial"/>
                <w:b/>
                <w:bCs/>
                <w:color w:val="505050"/>
              </w:rPr>
              <w:t>Unit 7</w:t>
            </w:r>
            <w:r w:rsidR="00F0013B" w:rsidRPr="00F0013B">
              <w:rPr>
                <w:rFonts w:ascii="Arial" w:hAnsi="Arial" w:cs="Arial"/>
                <w:color w:val="505050"/>
              </w:rPr>
              <w:t xml:space="preserve">: Inference for </w:t>
            </w:r>
          </w:p>
          <w:p w14:paraId="7BFBACB5" w14:textId="77777777" w:rsidR="00F0013B" w:rsidRPr="00F0013B" w:rsidRDefault="00047670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>
              <w:rPr>
                <w:rFonts w:ascii="Arial" w:hAnsi="Arial" w:cs="Arial"/>
                <w:color w:val="505050"/>
              </w:rPr>
              <w:t xml:space="preserve">  </w:t>
            </w:r>
            <w:r w:rsidR="00F0013B" w:rsidRPr="00F0013B">
              <w:rPr>
                <w:rFonts w:ascii="Arial" w:hAnsi="Arial" w:cs="Arial"/>
                <w:color w:val="505050"/>
              </w:rPr>
              <w:t>Quantitative Data: Means</w:t>
            </w:r>
          </w:p>
        </w:tc>
        <w:tc>
          <w:tcPr>
            <w:tcW w:w="23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</w:tcPr>
          <w:p w14:paraId="011D887B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10%–18%</w:t>
            </w:r>
          </w:p>
        </w:tc>
      </w:tr>
      <w:tr w:rsidR="00F0013B" w:rsidRPr="00F0013B" w14:paraId="40AD6FCA" w14:textId="77777777" w:rsidTr="00047670">
        <w:trPr>
          <w:trHeight w:val="721"/>
        </w:trPr>
        <w:tc>
          <w:tcPr>
            <w:tcW w:w="45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82358A" w14:textId="25424F0A" w:rsidR="00F0013B" w:rsidRPr="00047670" w:rsidRDefault="00F0013B" w:rsidP="00F0013B">
            <w:pPr>
              <w:spacing w:line="360" w:lineRule="atLeast"/>
              <w:rPr>
                <w:rFonts w:ascii="Arial" w:hAnsi="Arial" w:cs="Arial"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>C</w:t>
            </w:r>
            <w:r w:rsidR="00047670">
              <w:rPr>
                <w:rFonts w:ascii="Arial" w:hAnsi="Arial" w:cs="Arial"/>
                <w:b/>
                <w:bCs/>
                <w:color w:val="4472C4" w:themeColor="accent1"/>
              </w:rPr>
              <w:t>h</w:t>
            </w: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 xml:space="preserve"> 8.1-8.</w:t>
            </w:r>
            <w:r w:rsidR="005C3F62">
              <w:rPr>
                <w:rFonts w:ascii="Arial" w:hAnsi="Arial" w:cs="Arial"/>
                <w:b/>
                <w:bCs/>
                <w:color w:val="4472C4" w:themeColor="accent1"/>
              </w:rPr>
              <w:t>3</w:t>
            </w:r>
            <w:r w:rsidR="004C1A15">
              <w:rPr>
                <w:rFonts w:ascii="Arial" w:hAnsi="Arial" w:cs="Arial"/>
                <w:b/>
                <w:bCs/>
                <w:color w:val="4472C4" w:themeColor="accent1"/>
              </w:rPr>
              <w:t xml:space="preserve">:  </w:t>
            </w:r>
            <w:r w:rsidR="004C1A15" w:rsidRPr="004C1A15">
              <w:rPr>
                <w:rFonts w:ascii="Arial" w:hAnsi="Arial" w:cs="Arial"/>
                <w:color w:val="4472C4" w:themeColor="accent1"/>
              </w:rPr>
              <w:t>Introduction to linear regression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194CB006" w14:textId="1E60927B" w:rsidR="00F0013B" w:rsidRPr="00F0013B" w:rsidRDefault="00047670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>
              <w:rPr>
                <w:rFonts w:ascii="Arial" w:hAnsi="Arial" w:cs="Arial"/>
                <w:color w:val="505050"/>
              </w:rPr>
              <w:t xml:space="preserve">  </w:t>
            </w:r>
            <w:r w:rsidR="00F0013B" w:rsidRPr="00047670">
              <w:rPr>
                <w:rFonts w:ascii="Arial" w:hAnsi="Arial" w:cs="Arial"/>
                <w:b/>
                <w:bCs/>
                <w:color w:val="505050"/>
              </w:rPr>
              <w:t>Unit 2</w:t>
            </w:r>
            <w:r w:rsidR="00F0013B" w:rsidRPr="00F0013B">
              <w:rPr>
                <w:rFonts w:ascii="Arial" w:hAnsi="Arial" w:cs="Arial"/>
                <w:color w:val="505050"/>
              </w:rPr>
              <w:t>: Exploring Two-</w:t>
            </w:r>
            <w:r>
              <w:rPr>
                <w:rFonts w:ascii="Arial" w:hAnsi="Arial" w:cs="Arial"/>
                <w:color w:val="505050"/>
              </w:rPr>
              <w:br/>
              <w:t xml:space="preserve">  </w:t>
            </w:r>
            <w:r w:rsidR="00F0013B" w:rsidRPr="00F0013B">
              <w:rPr>
                <w:rFonts w:ascii="Arial" w:hAnsi="Arial" w:cs="Arial"/>
                <w:color w:val="505050"/>
              </w:rPr>
              <w:t>Variable Data</w:t>
            </w:r>
            <w:r w:rsidR="004C1A15">
              <w:rPr>
                <w:rFonts w:ascii="Arial" w:hAnsi="Arial" w:cs="Arial"/>
                <w:color w:val="505050"/>
              </w:rPr>
              <w:t xml:space="preserve"> (numerical)</w:t>
            </w:r>
          </w:p>
        </w:tc>
        <w:tc>
          <w:tcPr>
            <w:tcW w:w="23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E099532" w14:textId="77777777" w:rsidR="00F0013B" w:rsidRPr="00F0013B" w:rsidRDefault="00047670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>
              <w:rPr>
                <w:rFonts w:ascii="Arial" w:hAnsi="Arial" w:cs="Arial"/>
                <w:color w:val="505050"/>
              </w:rPr>
              <w:t xml:space="preserve">  </w:t>
            </w:r>
            <w:r w:rsidR="00F0013B" w:rsidRPr="00F0013B">
              <w:rPr>
                <w:rFonts w:ascii="Arial" w:hAnsi="Arial" w:cs="Arial"/>
                <w:color w:val="505050"/>
              </w:rPr>
              <w:t> 5%–7%</w:t>
            </w:r>
          </w:p>
        </w:tc>
      </w:tr>
      <w:tr w:rsidR="00F0013B" w:rsidRPr="00F0013B" w14:paraId="42FC0521" w14:textId="77777777" w:rsidTr="00047670">
        <w:trPr>
          <w:trHeight w:val="721"/>
        </w:trPr>
        <w:tc>
          <w:tcPr>
            <w:tcW w:w="45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A65CF1" w14:textId="5D6012DD" w:rsidR="00F0013B" w:rsidRPr="00047670" w:rsidRDefault="00F0013B" w:rsidP="00F0013B">
            <w:pPr>
              <w:spacing w:line="360" w:lineRule="atLeast"/>
              <w:rPr>
                <w:rFonts w:ascii="Arial" w:hAnsi="Arial" w:cs="Arial"/>
                <w:color w:val="4472C4" w:themeColor="accent1"/>
              </w:rPr>
            </w:pPr>
            <w:r w:rsidRPr="00047670">
              <w:rPr>
                <w:rFonts w:ascii="Arial" w:hAnsi="Arial" w:cs="Arial"/>
                <w:b/>
                <w:bCs/>
                <w:color w:val="4472C4" w:themeColor="accent1"/>
              </w:rPr>
              <w:t>Ch 8.</w:t>
            </w:r>
            <w:r w:rsidR="005C3F62">
              <w:rPr>
                <w:rFonts w:ascii="Arial" w:hAnsi="Arial" w:cs="Arial"/>
                <w:b/>
                <w:bCs/>
                <w:color w:val="4472C4" w:themeColor="accent1"/>
              </w:rPr>
              <w:t>4</w:t>
            </w:r>
            <w:r w:rsidRPr="00047670">
              <w:rPr>
                <w:rFonts w:ascii="Arial" w:hAnsi="Arial" w:cs="Arial"/>
                <w:color w:val="4472C4" w:themeColor="accent1"/>
              </w:rPr>
              <w:t>:  Inference for the slope of a regression line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01486B1D" w14:textId="77777777" w:rsidR="00F0013B" w:rsidRPr="00F0013B" w:rsidRDefault="00047670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047670">
              <w:rPr>
                <w:rFonts w:ascii="Arial" w:hAnsi="Arial" w:cs="Arial"/>
                <w:b/>
                <w:bCs/>
                <w:color w:val="505050"/>
              </w:rPr>
              <w:t xml:space="preserve">  </w:t>
            </w:r>
            <w:r w:rsidR="00F0013B" w:rsidRPr="00047670">
              <w:rPr>
                <w:rFonts w:ascii="Arial" w:hAnsi="Arial" w:cs="Arial"/>
                <w:b/>
                <w:bCs/>
                <w:color w:val="505050"/>
              </w:rPr>
              <w:t>Unit 9</w:t>
            </w:r>
            <w:r w:rsidR="00F0013B" w:rsidRPr="00F0013B">
              <w:rPr>
                <w:rFonts w:ascii="Arial" w:hAnsi="Arial" w:cs="Arial"/>
                <w:color w:val="505050"/>
              </w:rPr>
              <w:t xml:space="preserve">: Inference for </w:t>
            </w:r>
            <w:r>
              <w:rPr>
                <w:rFonts w:ascii="Arial" w:hAnsi="Arial" w:cs="Arial"/>
                <w:color w:val="505050"/>
              </w:rPr>
              <w:br/>
              <w:t xml:space="preserve">  </w:t>
            </w:r>
            <w:r w:rsidR="00F0013B" w:rsidRPr="00F0013B">
              <w:rPr>
                <w:rFonts w:ascii="Arial" w:hAnsi="Arial" w:cs="Arial"/>
                <w:color w:val="505050"/>
              </w:rPr>
              <w:t>Quantitative Data: Slopes</w:t>
            </w:r>
          </w:p>
        </w:tc>
        <w:tc>
          <w:tcPr>
            <w:tcW w:w="23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41D7AE" w14:textId="77777777" w:rsidR="00F0013B" w:rsidRPr="00F0013B" w:rsidRDefault="00F0013B" w:rsidP="00F0013B">
            <w:pPr>
              <w:spacing w:line="360" w:lineRule="atLeast"/>
              <w:rPr>
                <w:rFonts w:ascii="Arial" w:hAnsi="Arial" w:cs="Arial"/>
                <w:color w:val="505050"/>
              </w:rPr>
            </w:pPr>
            <w:r w:rsidRPr="00F0013B">
              <w:rPr>
                <w:rFonts w:ascii="Arial" w:hAnsi="Arial" w:cs="Arial"/>
                <w:color w:val="505050"/>
              </w:rPr>
              <w:t> </w:t>
            </w:r>
            <w:r w:rsidR="00047670">
              <w:rPr>
                <w:rFonts w:ascii="Arial" w:hAnsi="Arial" w:cs="Arial"/>
                <w:color w:val="505050"/>
              </w:rPr>
              <w:t xml:space="preserve">  </w:t>
            </w:r>
            <w:r w:rsidRPr="00F0013B">
              <w:rPr>
                <w:rFonts w:ascii="Arial" w:hAnsi="Arial" w:cs="Arial"/>
                <w:color w:val="505050"/>
              </w:rPr>
              <w:t>2%–5%</w:t>
            </w:r>
          </w:p>
        </w:tc>
      </w:tr>
    </w:tbl>
    <w:p w14:paraId="595D9CE7" w14:textId="77777777" w:rsidR="002E0CF5" w:rsidRPr="00F0013B" w:rsidRDefault="002E0CF5" w:rsidP="002E0CF5">
      <w:pPr>
        <w:rPr>
          <w:rFonts w:ascii="Arial" w:hAnsi="Arial" w:cs="Arial"/>
        </w:rPr>
      </w:pPr>
    </w:p>
    <w:p w14:paraId="7759228E" w14:textId="77777777" w:rsidR="00F8491C" w:rsidRPr="00F0013B" w:rsidRDefault="00F8491C" w:rsidP="00AC4BDF">
      <w:pPr>
        <w:rPr>
          <w:rFonts w:ascii="Arial" w:hAnsi="Arial" w:cs="Arial"/>
          <w:b/>
          <w:bCs/>
          <w:color w:val="0099D6"/>
          <w:sz w:val="30"/>
          <w:szCs w:val="30"/>
        </w:rPr>
      </w:pPr>
    </w:p>
    <w:sectPr w:rsidR="00F8491C" w:rsidRPr="00F0013B" w:rsidSect="00F0013B">
      <w:type w:val="continuous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ia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9B"/>
    <w:rsid w:val="00047670"/>
    <w:rsid w:val="00112287"/>
    <w:rsid w:val="00232192"/>
    <w:rsid w:val="002E0CF5"/>
    <w:rsid w:val="00386317"/>
    <w:rsid w:val="003924E1"/>
    <w:rsid w:val="004213A0"/>
    <w:rsid w:val="004C1A15"/>
    <w:rsid w:val="005808B5"/>
    <w:rsid w:val="00581408"/>
    <w:rsid w:val="005C3F62"/>
    <w:rsid w:val="00616034"/>
    <w:rsid w:val="00693B31"/>
    <w:rsid w:val="00727E22"/>
    <w:rsid w:val="007374C4"/>
    <w:rsid w:val="00745EFB"/>
    <w:rsid w:val="00786AE9"/>
    <w:rsid w:val="0081360C"/>
    <w:rsid w:val="00886D8B"/>
    <w:rsid w:val="00905514"/>
    <w:rsid w:val="0095059B"/>
    <w:rsid w:val="009E203C"/>
    <w:rsid w:val="00A32B51"/>
    <w:rsid w:val="00A96759"/>
    <w:rsid w:val="00AA13DB"/>
    <w:rsid w:val="00AC4BDF"/>
    <w:rsid w:val="00B35703"/>
    <w:rsid w:val="00B75E41"/>
    <w:rsid w:val="00D15B48"/>
    <w:rsid w:val="00E54B69"/>
    <w:rsid w:val="00F0013B"/>
    <w:rsid w:val="00F8491C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F3C17"/>
  <w15:chartTrackingRefBased/>
  <w15:docId w15:val="{427A4A06-DD37-AE48-87A8-FAA506B1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4C4"/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link w:val="Heading5Char"/>
    <w:uiPriority w:val="9"/>
    <w:qFormat/>
    <w:rsid w:val="0095059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5059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E1FFB"/>
    <w:pPr>
      <w:autoSpaceDE w:val="0"/>
      <w:autoSpaceDN w:val="0"/>
      <w:adjustRightInd w:val="0"/>
    </w:pPr>
    <w:rPr>
      <w:rFonts w:ascii="Lexia" w:hAnsi="Lexia" w:cs="Lex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BDF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BD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374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36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central.collegeboard.org/courses/ap-statistics/cour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Dorazio</dc:creator>
  <cp:keywords/>
  <dc:description/>
  <cp:lastModifiedBy>Leah Dorazio</cp:lastModifiedBy>
  <cp:revision>5</cp:revision>
  <dcterms:created xsi:type="dcterms:W3CDTF">2022-05-20T16:55:00Z</dcterms:created>
  <dcterms:modified xsi:type="dcterms:W3CDTF">2022-07-31T23:18:00Z</dcterms:modified>
</cp:coreProperties>
</file>